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A88DA8" w14:textId="77777777" w:rsidR="000175FC" w:rsidRPr="00CE0EC2" w:rsidRDefault="000175FC" w:rsidP="000175FC">
      <w:pPr>
        <w:pStyle w:val="Heading3"/>
        <w:bidi/>
        <w:spacing w:line="460" w:lineRule="exact"/>
        <w:jc w:val="left"/>
        <w:rPr>
          <w:rFonts w:cs="Traditional Arabic"/>
          <w:noProof w:val="0"/>
          <w:sz w:val="36"/>
          <w:szCs w:val="36"/>
          <w:rtl/>
        </w:rPr>
      </w:pPr>
      <w:r w:rsidRPr="00CE0EC2">
        <w:rPr>
          <w:rFonts w:cs="Traditional Arabic"/>
          <w:noProof w:val="0"/>
          <w:sz w:val="36"/>
          <w:szCs w:val="36"/>
          <w:rtl/>
        </w:rPr>
        <w:t>سلسلة الكتاب الطبي الجامعي</w:t>
      </w:r>
    </w:p>
    <w:p w14:paraId="3D850350" w14:textId="77777777" w:rsidR="00142D2E" w:rsidRDefault="00142D2E" w:rsidP="000175FC">
      <w:pPr>
        <w:pStyle w:val="a"/>
        <w:tabs>
          <w:tab w:val="left" w:pos="567"/>
          <w:tab w:val="left" w:leader="dot" w:pos="8522"/>
          <w:tab w:val="left" w:pos="9072"/>
          <w:tab w:val="right" w:pos="9515"/>
        </w:tabs>
        <w:bidi/>
        <w:spacing w:before="240" w:line="380" w:lineRule="exact"/>
        <w:jc w:val="both"/>
        <w:rPr>
          <w:rFonts w:cs="Traditional Arabic"/>
          <w:sz w:val="32"/>
          <w:szCs w:val="32"/>
          <w:rtl/>
        </w:rPr>
      </w:pPr>
      <w:r>
        <w:rPr>
          <w:rFonts w:cs="Traditional Arabic" w:hint="cs"/>
          <w:sz w:val="32"/>
          <w:szCs w:val="32"/>
          <w:rtl/>
        </w:rPr>
        <w:t>مبادرة شرفتُ بخدمتها على الصعيد الشخصي، بإضافة الكتب التي ترجمتها أو ألفتها لتكون ضمن المناهج الدراسية باللغة العربية في كليات ومعاهد العلوم الصحية والطبية.</w:t>
      </w:r>
    </w:p>
    <w:p w14:paraId="08531EBC" w14:textId="4B15E352" w:rsidR="00142D2E" w:rsidRDefault="00142D2E" w:rsidP="00142D2E">
      <w:pPr>
        <w:pStyle w:val="a"/>
        <w:tabs>
          <w:tab w:val="left" w:pos="567"/>
          <w:tab w:val="left" w:leader="dot" w:pos="8522"/>
          <w:tab w:val="left" w:pos="9072"/>
          <w:tab w:val="right" w:pos="9515"/>
        </w:tabs>
        <w:bidi/>
        <w:spacing w:before="240" w:line="380" w:lineRule="exact"/>
        <w:jc w:val="both"/>
        <w:rPr>
          <w:rFonts w:cs="Traditional Arabic"/>
          <w:sz w:val="32"/>
          <w:szCs w:val="32"/>
          <w:rtl/>
        </w:rPr>
      </w:pPr>
      <w:r>
        <w:rPr>
          <w:rFonts w:cs="Traditional Arabic" w:hint="cs"/>
          <w:sz w:val="32"/>
          <w:szCs w:val="32"/>
          <w:rtl/>
        </w:rPr>
        <w:t>تبدأ قصة المبادرة في ستينيات القرن الماضي، عندما نشطت الدعوات إلى تعليم العلوم باللغة العربية، وبلغت أوجها في نهاية القرن العشرين، وكانت سلسلة الكتاب الطبي الجامعي ذروة ما وصلت إليه تلك الجهود المباركة</w:t>
      </w:r>
      <w:r w:rsidR="00676F3F">
        <w:rPr>
          <w:rFonts w:cs="Traditional Arabic" w:hint="cs"/>
          <w:sz w:val="32"/>
          <w:szCs w:val="32"/>
          <w:rtl/>
        </w:rPr>
        <w:t>، بعد أن غطت جميع المواد الدراسية بعنوان أو أكثر من الكتب الإنكليزية المترجمة إلى العربية بإشراف البرنامج العربي العالمي لمنظمة الصحة العالمية والمركز العربي لتأليف وترجمة العلوم الصحية في الكويت وبقية المراكز المشاركة بالاهتمام بالتعليم الطبي والصحي</w:t>
      </w:r>
      <w:r>
        <w:rPr>
          <w:rFonts w:cs="Traditional Arabic" w:hint="cs"/>
          <w:sz w:val="32"/>
          <w:szCs w:val="32"/>
          <w:rtl/>
        </w:rPr>
        <w:t>.</w:t>
      </w:r>
      <w:r w:rsidR="00676F3F">
        <w:rPr>
          <w:rFonts w:cs="Traditional Arabic" w:hint="cs"/>
          <w:sz w:val="32"/>
          <w:szCs w:val="32"/>
          <w:rtl/>
        </w:rPr>
        <w:t xml:space="preserve"> وسأكتفي هنا بعرض مساهماتي الشخصية.</w:t>
      </w:r>
    </w:p>
    <w:p w14:paraId="124F4B6A" w14:textId="264D9A89" w:rsidR="000175FC" w:rsidRPr="00CE0EC2" w:rsidRDefault="00142D2E" w:rsidP="00676F3F">
      <w:pPr>
        <w:pStyle w:val="a"/>
        <w:tabs>
          <w:tab w:val="left" w:pos="567"/>
          <w:tab w:val="left" w:leader="dot" w:pos="8522"/>
          <w:tab w:val="left" w:pos="9072"/>
          <w:tab w:val="right" w:pos="9515"/>
        </w:tabs>
        <w:bidi/>
        <w:spacing w:before="240" w:line="380" w:lineRule="exact"/>
        <w:ind w:firstLine="0"/>
        <w:jc w:val="both"/>
        <w:rPr>
          <w:rFonts w:cs="Traditional Arabic"/>
          <w:sz w:val="32"/>
          <w:szCs w:val="32"/>
          <w:rtl/>
        </w:rPr>
      </w:pPr>
      <w:r>
        <w:rPr>
          <w:rFonts w:cs="Traditional Arabic" w:hint="cs"/>
          <w:sz w:val="32"/>
          <w:szCs w:val="32"/>
          <w:rtl/>
        </w:rPr>
        <w:t xml:space="preserve"> </w:t>
      </w:r>
      <w:r w:rsidR="000175FC" w:rsidRPr="00CE0EC2">
        <w:rPr>
          <w:rFonts w:cs="Traditional Arabic"/>
          <w:sz w:val="32"/>
          <w:szCs w:val="32"/>
          <w:rtl/>
        </w:rPr>
        <w:t xml:space="preserve">تنص جميع دساتير الدول العربية، وجميع قوانين تنظيم الجامعات في الوطن العربي، على أن لغة التعليم هي اللغة العربية. ورغم ذلك فقد تواصل الاعتماد على اللغات الأجنبية في تعليم العلوم الصحية في معظم البلدان العربية. وعدم توافر الكتب الدراسية باللغة العربية من أهم الحُجَج التي </w:t>
      </w:r>
      <w:proofErr w:type="spellStart"/>
      <w:r w:rsidR="000175FC" w:rsidRPr="00CE0EC2">
        <w:rPr>
          <w:rFonts w:cs="Traditional Arabic"/>
          <w:sz w:val="32"/>
          <w:szCs w:val="32"/>
          <w:rtl/>
        </w:rPr>
        <w:t>يتقوَّلها</w:t>
      </w:r>
      <w:proofErr w:type="spellEnd"/>
      <w:r w:rsidR="000175FC" w:rsidRPr="00CE0EC2">
        <w:rPr>
          <w:rFonts w:cs="Traditional Arabic"/>
          <w:sz w:val="32"/>
          <w:szCs w:val="32"/>
          <w:rtl/>
        </w:rPr>
        <w:t xml:space="preserve"> من يتعمَّد التعليم باللغات الأجنبية وإقصاء اللغة العربية. وسلسلة الكتاب الطبي الجامعي محاولة جادة لتلبية احتياجات الطلاب من هذه الكتب، وتفويت الفرصة على من يدعي عدم توافر الكتب الدراسية، وهم الذين يعتبرون معارضين استراتيجيين للتعليم باللغة العربية.</w:t>
      </w:r>
    </w:p>
    <w:p w14:paraId="070CCBC5" w14:textId="77777777" w:rsidR="000175FC" w:rsidRPr="00CE0EC2" w:rsidRDefault="000175FC" w:rsidP="000175FC">
      <w:pPr>
        <w:pStyle w:val="a"/>
        <w:tabs>
          <w:tab w:val="left" w:pos="567"/>
          <w:tab w:val="left" w:leader="dot" w:pos="8522"/>
          <w:tab w:val="left" w:pos="9072"/>
          <w:tab w:val="right" w:pos="9515"/>
        </w:tabs>
        <w:bidi/>
        <w:spacing w:before="240" w:line="380" w:lineRule="exact"/>
        <w:jc w:val="both"/>
        <w:rPr>
          <w:rFonts w:cs="Traditional Arabic"/>
          <w:sz w:val="32"/>
          <w:szCs w:val="32"/>
          <w:rtl/>
        </w:rPr>
      </w:pPr>
      <w:r w:rsidRPr="00CE0EC2">
        <w:rPr>
          <w:rFonts w:cs="Traditional Arabic"/>
          <w:sz w:val="32"/>
          <w:szCs w:val="32"/>
          <w:rtl/>
        </w:rPr>
        <w:t>وقد ض</w:t>
      </w:r>
      <w:r>
        <w:rPr>
          <w:rFonts w:cs="Traditional Arabic"/>
          <w:sz w:val="32"/>
          <w:szCs w:val="32"/>
          <w:rtl/>
        </w:rPr>
        <w:t>َ</w:t>
      </w:r>
      <w:r w:rsidRPr="00CE0EC2">
        <w:rPr>
          <w:rFonts w:cs="Traditional Arabic"/>
          <w:sz w:val="32"/>
          <w:szCs w:val="32"/>
          <w:rtl/>
        </w:rPr>
        <w:t>م</w:t>
      </w:r>
      <w:r>
        <w:rPr>
          <w:rFonts w:cs="Traditional Arabic"/>
          <w:sz w:val="32"/>
          <w:szCs w:val="32"/>
          <w:rtl/>
        </w:rPr>
        <w:t>َّ</w:t>
      </w:r>
      <w:r w:rsidRPr="00CE0EC2">
        <w:rPr>
          <w:rFonts w:cs="Traditional Arabic"/>
          <w:sz w:val="32"/>
          <w:szCs w:val="32"/>
          <w:rtl/>
        </w:rPr>
        <w:t>ت</w:t>
      </w:r>
      <w:r>
        <w:rPr>
          <w:rFonts w:cs="Traditional Arabic"/>
          <w:sz w:val="32"/>
          <w:szCs w:val="32"/>
          <w:rtl/>
        </w:rPr>
        <w:t>ْ</w:t>
      </w:r>
      <w:r w:rsidRPr="00CE0EC2">
        <w:rPr>
          <w:rFonts w:cs="Traditional Arabic"/>
          <w:sz w:val="32"/>
          <w:szCs w:val="32"/>
          <w:rtl/>
        </w:rPr>
        <w:t xml:space="preserve"> سلسلة</w:t>
      </w:r>
      <w:r>
        <w:rPr>
          <w:rFonts w:cs="Traditional Arabic"/>
          <w:sz w:val="32"/>
          <w:szCs w:val="32"/>
          <w:rtl/>
        </w:rPr>
        <w:t>ُ</w:t>
      </w:r>
      <w:r w:rsidRPr="00CE0EC2">
        <w:rPr>
          <w:rFonts w:cs="Traditional Arabic"/>
          <w:sz w:val="32"/>
          <w:szCs w:val="32"/>
          <w:rtl/>
        </w:rPr>
        <w:t xml:space="preserve"> الكتاب الطبي الجامعي كتباً مترجَمة عن اللغات الأجنبية وأخرى مؤلَّفة بالعربية، وقد ساهم في إعدادها مجموعات متخصصة من أساتذة كليات الطب في البلدان العربية، ويتبع البرنامج العربي للمنظمة خطة محكمة لإنتاج كل كتاب، تبدأ باختيار العناوين، ثم دعوة مجموعة من أساتذة كليات الطب المتخصصين بالموضوع إلى اجتماع يحددون فيه ملامح الكتاب الدراسي المنشود، ويوزعون فصوله بينهم، ثم يتبادلون مع زملائهم مراجعة تلك الفصول، ثم تعهد المنظمة بالمخطوطة إلى من يراجعها وينقِّحها ويبعث فيها روح الكاتب الواحد.</w:t>
      </w:r>
    </w:p>
    <w:p w14:paraId="10F20921" w14:textId="77777777" w:rsidR="000175FC" w:rsidRPr="00CE0EC2" w:rsidRDefault="000175FC" w:rsidP="000175FC">
      <w:pPr>
        <w:pStyle w:val="a"/>
        <w:tabs>
          <w:tab w:val="left" w:pos="567"/>
          <w:tab w:val="left" w:leader="dot" w:pos="8522"/>
          <w:tab w:val="left" w:pos="9072"/>
          <w:tab w:val="right" w:pos="9515"/>
        </w:tabs>
        <w:bidi/>
        <w:spacing w:before="240" w:line="380" w:lineRule="exact"/>
        <w:jc w:val="both"/>
        <w:rPr>
          <w:rFonts w:cs="Traditional Arabic"/>
          <w:sz w:val="32"/>
          <w:szCs w:val="32"/>
          <w:rtl/>
        </w:rPr>
      </w:pPr>
      <w:r w:rsidRPr="00CE0EC2">
        <w:rPr>
          <w:rFonts w:cs="Traditional Arabic"/>
          <w:sz w:val="32"/>
          <w:szCs w:val="32"/>
          <w:rtl/>
        </w:rPr>
        <w:t xml:space="preserve">وقد صدر من سلسلة الكتاب الطبي الجامعي عدد من الكتب المترجمة عن أصول أجنبية نذكر منها كتاب الموجز في الفيزيولوجيا الطبية المنسوب </w:t>
      </w:r>
      <w:proofErr w:type="spellStart"/>
      <w:r w:rsidRPr="00CE0EC2">
        <w:rPr>
          <w:rFonts w:cs="Traditional Arabic"/>
          <w:sz w:val="32"/>
          <w:szCs w:val="32"/>
          <w:rtl/>
        </w:rPr>
        <w:t>لغايتون</w:t>
      </w:r>
      <w:proofErr w:type="spellEnd"/>
      <w:r w:rsidRPr="00CE0EC2">
        <w:rPr>
          <w:rFonts w:cs="Traditional Arabic"/>
          <w:sz w:val="32"/>
          <w:szCs w:val="32"/>
          <w:rtl/>
        </w:rPr>
        <w:t xml:space="preserve"> وهيل، وعلم الأدوية السريري المنسوب </w:t>
      </w:r>
      <w:proofErr w:type="spellStart"/>
      <w:r w:rsidRPr="00CE0EC2">
        <w:rPr>
          <w:rFonts w:cs="Traditional Arabic"/>
          <w:sz w:val="32"/>
          <w:szCs w:val="32"/>
          <w:rtl/>
        </w:rPr>
        <w:t>لبينيت</w:t>
      </w:r>
      <w:proofErr w:type="spellEnd"/>
      <w:r w:rsidRPr="00CE0EC2">
        <w:rPr>
          <w:rFonts w:cs="Traditional Arabic"/>
          <w:sz w:val="32"/>
          <w:szCs w:val="32"/>
          <w:rtl/>
        </w:rPr>
        <w:t xml:space="preserve"> وبراون، وكتاب البيولوجيا المنسوب إلى كامبل وريس، وكتاب الأسس الباثولوجية للأمراض المنسوب لروبنـز وقطران، وكتاب طب النساء المنسوب لستيوارت كامبل وآش </w:t>
      </w:r>
      <w:proofErr w:type="spellStart"/>
      <w:r w:rsidRPr="00CE0EC2">
        <w:rPr>
          <w:rFonts w:cs="Traditional Arabic"/>
          <w:sz w:val="32"/>
          <w:szCs w:val="32"/>
          <w:rtl/>
        </w:rPr>
        <w:t>مونجا</w:t>
      </w:r>
      <w:proofErr w:type="spellEnd"/>
      <w:r w:rsidRPr="00CE0EC2">
        <w:rPr>
          <w:rFonts w:cs="Traditional Arabic"/>
          <w:sz w:val="32"/>
          <w:szCs w:val="32"/>
          <w:rtl/>
        </w:rPr>
        <w:t xml:space="preserve">، وكتاب طب التوليد المنسوب لستيوارت كامبل وكريستوف ليز، وكتاب التسميات التشريحية، وكتاب أساسيات علم الوبائيات المنسوب لبونيتا </w:t>
      </w:r>
      <w:proofErr w:type="spellStart"/>
      <w:r w:rsidRPr="00CE0EC2">
        <w:rPr>
          <w:rFonts w:cs="Traditional Arabic"/>
          <w:sz w:val="32"/>
          <w:szCs w:val="32"/>
          <w:rtl/>
        </w:rPr>
        <w:t>وبيغلهول</w:t>
      </w:r>
      <w:proofErr w:type="spellEnd"/>
      <w:r w:rsidRPr="00CE0EC2">
        <w:rPr>
          <w:rFonts w:cs="Traditional Arabic"/>
          <w:sz w:val="32"/>
          <w:szCs w:val="32"/>
          <w:rtl/>
        </w:rPr>
        <w:t xml:space="preserve"> كجيل </w:t>
      </w:r>
      <w:proofErr w:type="spellStart"/>
      <w:r w:rsidRPr="00CE0EC2">
        <w:rPr>
          <w:rFonts w:cs="Traditional Arabic"/>
          <w:sz w:val="32"/>
          <w:szCs w:val="32"/>
          <w:rtl/>
        </w:rPr>
        <w:t>شتورم</w:t>
      </w:r>
      <w:proofErr w:type="spellEnd"/>
      <w:r w:rsidRPr="00CE0EC2">
        <w:rPr>
          <w:rFonts w:cs="Traditional Arabic"/>
          <w:sz w:val="32"/>
          <w:szCs w:val="32"/>
          <w:rtl/>
        </w:rPr>
        <w:t xml:space="preserve"> بطبعتيه الأولى والثانية.</w:t>
      </w:r>
    </w:p>
    <w:p w14:paraId="3054F22F" w14:textId="77777777" w:rsidR="000175FC" w:rsidRPr="00CE0EC2" w:rsidRDefault="000175FC" w:rsidP="000175FC">
      <w:pPr>
        <w:pStyle w:val="a"/>
        <w:tabs>
          <w:tab w:val="left" w:pos="567"/>
          <w:tab w:val="left" w:leader="dot" w:pos="8522"/>
          <w:tab w:val="left" w:pos="9072"/>
          <w:tab w:val="right" w:pos="9515"/>
        </w:tabs>
        <w:bidi/>
        <w:spacing w:before="240" w:line="380" w:lineRule="exact"/>
        <w:jc w:val="both"/>
        <w:rPr>
          <w:rFonts w:cs="Traditional Arabic"/>
          <w:sz w:val="32"/>
          <w:szCs w:val="32"/>
          <w:rtl/>
        </w:rPr>
      </w:pPr>
      <w:r w:rsidRPr="00CE0EC2">
        <w:rPr>
          <w:rFonts w:cs="Traditional Arabic"/>
          <w:sz w:val="32"/>
          <w:szCs w:val="32"/>
          <w:rtl/>
        </w:rPr>
        <w:t>ومن الكتب التي قام بتأليفها مجموعة من أساتذة الجامعات العربية وفق المنهجية المذكورة سابقاً</w:t>
      </w:r>
      <w:r>
        <w:rPr>
          <w:rFonts w:cs="Traditional Arabic"/>
          <w:sz w:val="32"/>
          <w:szCs w:val="32"/>
          <w:rtl/>
        </w:rPr>
        <w:t>؛</w:t>
      </w:r>
      <w:r w:rsidRPr="00CE0EC2">
        <w:rPr>
          <w:rFonts w:cs="Traditional Arabic"/>
          <w:sz w:val="32"/>
          <w:szCs w:val="32"/>
          <w:rtl/>
        </w:rPr>
        <w:t xml:space="preserve"> كتاب الطب الشرعي بطبعتيه الأولى والثانية، وكتاب الطب النفسي، وكتاب طب المجتمع بطبعتيه الأولى والثانية، وكتاب الغذاء والتغذية بطبعتيه الأولى والثانية، وكتاب التخدير وتاريخه، وكتاب صفحات من تاريخ التراث الطبي العربي والإسلامي، وكتاب أطلس الباثولوجيا، وكتاب الإدارة الصحية، وكتاب تمريض صحة المجتمع، وكتاب علم المصطلح لطلبة كليات الطب والعلوم الصحية، والكتب الثنائية اللغة في التشريح وعلم الجنين وعلم النسج، ونتوقع صدور المزيد من هذه السلسلة قريباً، مثل كتب المكروبيولوجيا بفروعها المختلفة من طفيليات وفيروسات وجرثوميات </w:t>
      </w:r>
      <w:proofErr w:type="spellStart"/>
      <w:r w:rsidRPr="00CE0EC2">
        <w:rPr>
          <w:rFonts w:cs="Traditional Arabic"/>
          <w:sz w:val="32"/>
          <w:szCs w:val="32"/>
          <w:rtl/>
        </w:rPr>
        <w:t>ومناعيات</w:t>
      </w:r>
      <w:proofErr w:type="spellEnd"/>
      <w:r w:rsidRPr="00CE0EC2">
        <w:rPr>
          <w:rFonts w:cs="Traditional Arabic"/>
          <w:sz w:val="32"/>
          <w:szCs w:val="32"/>
          <w:rtl/>
        </w:rPr>
        <w:t>، وكتب الكيمياء الحيوية والعضوية.</w:t>
      </w:r>
    </w:p>
    <w:p w14:paraId="45DBBB95" w14:textId="31ABD7B3" w:rsidR="000175FC" w:rsidRPr="00CE0EC2" w:rsidRDefault="000175FC" w:rsidP="000175FC">
      <w:pPr>
        <w:pStyle w:val="a"/>
        <w:tabs>
          <w:tab w:val="left" w:pos="567"/>
          <w:tab w:val="left" w:leader="dot" w:pos="8522"/>
          <w:tab w:val="left" w:pos="9072"/>
          <w:tab w:val="right" w:pos="9515"/>
        </w:tabs>
        <w:bidi/>
        <w:spacing w:before="240" w:line="380" w:lineRule="exact"/>
        <w:jc w:val="both"/>
        <w:rPr>
          <w:rFonts w:cs="Traditional Arabic"/>
          <w:sz w:val="32"/>
          <w:szCs w:val="32"/>
          <w:rtl/>
        </w:rPr>
      </w:pPr>
      <w:r w:rsidRPr="00CE0EC2">
        <w:rPr>
          <w:rFonts w:cs="Traditional Arabic"/>
          <w:sz w:val="32"/>
          <w:szCs w:val="32"/>
          <w:rtl/>
        </w:rPr>
        <w:lastRenderedPageBreak/>
        <w:t>ومما يبعث الأمل في النفوس أن كل كتاب من هذه الكتب قد ساهم في إعداده فريق</w:t>
      </w:r>
      <w:r>
        <w:rPr>
          <w:rFonts w:cs="Traditional Arabic"/>
          <w:sz w:val="32"/>
          <w:szCs w:val="32"/>
          <w:rtl/>
        </w:rPr>
        <w:t xml:space="preserve"> من المدرِّسين</w:t>
      </w:r>
      <w:r w:rsidRPr="00CE0EC2">
        <w:rPr>
          <w:rFonts w:cs="Traditional Arabic"/>
          <w:sz w:val="32"/>
          <w:szCs w:val="32"/>
          <w:rtl/>
        </w:rPr>
        <w:t xml:space="preserve"> من عدد من البلدان العربية، تضافرت جهودهم للعمل على إخراج الكتاب بعد أن شاعت بينهم روح واحدة لخدمة قضية التعريب للتعليم الطبي والصحي، ومن الأمثلة على ذلك أن أعضاء الفريق الذي ترجم كتاب علم الأدوية السريري ينتمون إلى السودان والجزائر وفلسطين وسورية والسعودية، فيما ساهم في إنتاج ومراجعة كتاب الطب الشرعي فريق ينتمي أفراده إلى أحد عشر بلداً عربياً، وينطبق ذلك أيضاً على ما أُلِّف من الكتب الأخرى في هذه السلسلة. </w:t>
      </w:r>
    </w:p>
    <w:p w14:paraId="110ED96D" w14:textId="0A2E4334" w:rsidR="009C03EE" w:rsidRDefault="009C03EE" w:rsidP="000175FC">
      <w:pPr>
        <w:bidi/>
        <w:rPr>
          <w:rtl/>
        </w:rPr>
      </w:pPr>
    </w:p>
    <w:tbl>
      <w:tblPr>
        <w:tblStyle w:val="TableGrid"/>
        <w:bidiVisual/>
        <w:tblW w:w="0" w:type="auto"/>
        <w:tblLook w:val="04A0" w:firstRow="1" w:lastRow="0" w:firstColumn="1" w:lastColumn="0" w:noHBand="0" w:noVBand="1"/>
      </w:tblPr>
      <w:tblGrid>
        <w:gridCol w:w="3608"/>
        <w:gridCol w:w="5742"/>
      </w:tblGrid>
      <w:tr w:rsidR="00676F3F" w14:paraId="5BC72861" w14:textId="77777777" w:rsidTr="00676F3F">
        <w:tc>
          <w:tcPr>
            <w:tcW w:w="4675" w:type="dxa"/>
          </w:tcPr>
          <w:p w14:paraId="4A825127" w14:textId="4D833870" w:rsidR="00676F3F" w:rsidRDefault="00676F3F" w:rsidP="00676F3F">
            <w:pPr>
              <w:bidi/>
              <w:rPr>
                <w:rtl/>
              </w:rPr>
            </w:pPr>
            <w:r>
              <w:rPr>
                <w:noProof/>
              </w:rPr>
              <w:drawing>
                <wp:inline distT="0" distB="0" distL="0" distR="0" wp14:anchorId="3E1907F0" wp14:editId="61526790">
                  <wp:extent cx="2380757" cy="3361433"/>
                  <wp:effectExtent l="0" t="0" r="635" b="0"/>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454360" cy="3465355"/>
                          </a:xfrm>
                          <a:prstGeom prst="rect">
                            <a:avLst/>
                          </a:prstGeom>
                        </pic:spPr>
                      </pic:pic>
                    </a:graphicData>
                  </a:graphic>
                </wp:inline>
              </w:drawing>
            </w:r>
          </w:p>
        </w:tc>
        <w:tc>
          <w:tcPr>
            <w:tcW w:w="4675" w:type="dxa"/>
          </w:tcPr>
          <w:p w14:paraId="04701AF7" w14:textId="0A05E924" w:rsidR="00676F3F" w:rsidRDefault="00676F3F" w:rsidP="00676F3F">
            <w:pPr>
              <w:bidi/>
              <w:rPr>
                <w:rtl/>
              </w:rPr>
            </w:pPr>
            <w:r>
              <w:rPr>
                <w:noProof/>
              </w:rPr>
              <w:drawing>
                <wp:inline distT="0" distB="0" distL="0" distR="0" wp14:anchorId="1FCDC9B2" wp14:editId="34BF6D4F">
                  <wp:extent cx="2495169" cy="3488484"/>
                  <wp:effectExtent l="0" t="0" r="635" b="0"/>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505877" cy="3503455"/>
                          </a:xfrm>
                          <a:prstGeom prst="rect">
                            <a:avLst/>
                          </a:prstGeom>
                        </pic:spPr>
                      </pic:pic>
                    </a:graphicData>
                  </a:graphic>
                </wp:inline>
              </w:drawing>
            </w:r>
          </w:p>
        </w:tc>
      </w:tr>
      <w:tr w:rsidR="00676F3F" w14:paraId="07A9FF69" w14:textId="77777777" w:rsidTr="00676F3F">
        <w:tc>
          <w:tcPr>
            <w:tcW w:w="4675" w:type="dxa"/>
          </w:tcPr>
          <w:p w14:paraId="0265095A" w14:textId="09863621" w:rsidR="00676F3F" w:rsidRDefault="00676F3F" w:rsidP="00676F3F">
            <w:pPr>
              <w:bidi/>
              <w:rPr>
                <w:rtl/>
              </w:rPr>
            </w:pPr>
            <w:r>
              <w:rPr>
                <w:noProof/>
              </w:rPr>
              <w:lastRenderedPageBreak/>
              <w:drawing>
                <wp:inline distT="0" distB="0" distL="0" distR="0" wp14:anchorId="7CD757D7" wp14:editId="6C51DAB9">
                  <wp:extent cx="2489835" cy="3458367"/>
                  <wp:effectExtent l="0" t="0" r="5715" b="8890"/>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507623" cy="3483075"/>
                          </a:xfrm>
                          <a:prstGeom prst="rect">
                            <a:avLst/>
                          </a:prstGeom>
                        </pic:spPr>
                      </pic:pic>
                    </a:graphicData>
                  </a:graphic>
                </wp:inline>
              </w:drawing>
            </w:r>
          </w:p>
        </w:tc>
        <w:tc>
          <w:tcPr>
            <w:tcW w:w="4675" w:type="dxa"/>
          </w:tcPr>
          <w:p w14:paraId="79247BB0" w14:textId="6648D308" w:rsidR="00676F3F" w:rsidRDefault="000B7997" w:rsidP="00676F3F">
            <w:pPr>
              <w:bidi/>
              <w:rPr>
                <w:rtl/>
              </w:rPr>
            </w:pPr>
            <w:r>
              <w:rPr>
                <w:noProof/>
              </w:rPr>
              <w:drawing>
                <wp:inline distT="0" distB="0" distL="0" distR="0" wp14:anchorId="12D4D7B7" wp14:editId="0A6439FC">
                  <wp:extent cx="2473307" cy="3541776"/>
                  <wp:effectExtent l="0" t="0" r="3810" b="1905"/>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480662" cy="3552308"/>
                          </a:xfrm>
                          <a:prstGeom prst="rect">
                            <a:avLst/>
                          </a:prstGeom>
                        </pic:spPr>
                      </pic:pic>
                    </a:graphicData>
                  </a:graphic>
                </wp:inline>
              </w:drawing>
            </w:r>
          </w:p>
        </w:tc>
      </w:tr>
      <w:tr w:rsidR="00676F3F" w14:paraId="0CD6D929" w14:textId="77777777" w:rsidTr="00676F3F">
        <w:tc>
          <w:tcPr>
            <w:tcW w:w="4675" w:type="dxa"/>
          </w:tcPr>
          <w:p w14:paraId="1FB81BEA" w14:textId="0A11B661" w:rsidR="00676F3F" w:rsidRDefault="000B7997" w:rsidP="00676F3F">
            <w:pPr>
              <w:bidi/>
              <w:rPr>
                <w:rtl/>
              </w:rPr>
            </w:pPr>
            <w:r w:rsidRPr="000B7997">
              <w:rPr>
                <w:rFonts w:cs="Arial"/>
                <w:rtl/>
              </w:rPr>
              <w:drawing>
                <wp:inline distT="0" distB="0" distL="0" distR="0" wp14:anchorId="648E4F06" wp14:editId="427A8454">
                  <wp:extent cx="2157428" cy="310517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57428" cy="3105173"/>
                          </a:xfrm>
                          <a:prstGeom prst="rect">
                            <a:avLst/>
                          </a:prstGeom>
                        </pic:spPr>
                      </pic:pic>
                    </a:graphicData>
                  </a:graphic>
                </wp:inline>
              </w:drawing>
            </w:r>
          </w:p>
        </w:tc>
        <w:tc>
          <w:tcPr>
            <w:tcW w:w="4675" w:type="dxa"/>
          </w:tcPr>
          <w:p w14:paraId="75139F65" w14:textId="221F3C8E" w:rsidR="00676F3F" w:rsidRDefault="000B7997" w:rsidP="00676F3F">
            <w:pPr>
              <w:bidi/>
              <w:rPr>
                <w:rtl/>
              </w:rPr>
            </w:pPr>
            <w:r>
              <w:rPr>
                <w:noProof/>
              </w:rPr>
              <w:drawing>
                <wp:inline distT="0" distB="0" distL="0" distR="0" wp14:anchorId="2362EA21" wp14:editId="24BCC5F6">
                  <wp:extent cx="2349700" cy="3206496"/>
                  <wp:effectExtent l="0" t="0" r="0" b="0"/>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70152" cy="3234405"/>
                          </a:xfrm>
                          <a:prstGeom prst="rect">
                            <a:avLst/>
                          </a:prstGeom>
                        </pic:spPr>
                      </pic:pic>
                    </a:graphicData>
                  </a:graphic>
                </wp:inline>
              </w:drawing>
            </w:r>
          </w:p>
        </w:tc>
      </w:tr>
      <w:tr w:rsidR="00676F3F" w14:paraId="6F52C87E" w14:textId="77777777" w:rsidTr="00676F3F">
        <w:tc>
          <w:tcPr>
            <w:tcW w:w="4675" w:type="dxa"/>
          </w:tcPr>
          <w:p w14:paraId="2955A9ED" w14:textId="35838EDF" w:rsidR="00676F3F" w:rsidRDefault="000B7997" w:rsidP="00676F3F">
            <w:pPr>
              <w:bidi/>
              <w:rPr>
                <w:rtl/>
              </w:rPr>
            </w:pPr>
            <w:r>
              <w:rPr>
                <w:noProof/>
              </w:rPr>
              <w:lastRenderedPageBreak/>
              <w:drawing>
                <wp:inline distT="0" distB="0" distL="0" distR="0" wp14:anchorId="130CD5FC" wp14:editId="6E79D745">
                  <wp:extent cx="2974587" cy="2055276"/>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00594" cy="2073246"/>
                          </a:xfrm>
                          <a:prstGeom prst="rect">
                            <a:avLst/>
                          </a:prstGeom>
                          <a:noFill/>
                        </pic:spPr>
                      </pic:pic>
                    </a:graphicData>
                  </a:graphic>
                </wp:inline>
              </w:drawing>
            </w:r>
          </w:p>
        </w:tc>
        <w:tc>
          <w:tcPr>
            <w:tcW w:w="4675" w:type="dxa"/>
          </w:tcPr>
          <w:p w14:paraId="5664AD22" w14:textId="0DFBFEAC" w:rsidR="00676F3F" w:rsidRDefault="000B7997" w:rsidP="00676F3F">
            <w:pPr>
              <w:bidi/>
              <w:rPr>
                <w:rtl/>
              </w:rPr>
            </w:pPr>
            <w:r>
              <w:rPr>
                <w:noProof/>
              </w:rPr>
              <w:drawing>
                <wp:inline distT="0" distB="0" distL="0" distR="0" wp14:anchorId="1765B639" wp14:editId="340C62DA">
                  <wp:extent cx="4846117" cy="3232298"/>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49251" cy="3234389"/>
                          </a:xfrm>
                          <a:prstGeom prst="rect">
                            <a:avLst/>
                          </a:prstGeom>
                          <a:noFill/>
                          <a:ln>
                            <a:noFill/>
                          </a:ln>
                        </pic:spPr>
                      </pic:pic>
                    </a:graphicData>
                  </a:graphic>
                </wp:inline>
              </w:drawing>
            </w:r>
          </w:p>
        </w:tc>
      </w:tr>
      <w:tr w:rsidR="00676F3F" w14:paraId="0036F401" w14:textId="77777777" w:rsidTr="00676F3F">
        <w:tc>
          <w:tcPr>
            <w:tcW w:w="4675" w:type="dxa"/>
          </w:tcPr>
          <w:p w14:paraId="55E26D21" w14:textId="77777777" w:rsidR="00676F3F" w:rsidRDefault="00676F3F" w:rsidP="00676F3F">
            <w:pPr>
              <w:bidi/>
              <w:rPr>
                <w:rtl/>
              </w:rPr>
            </w:pPr>
          </w:p>
        </w:tc>
        <w:tc>
          <w:tcPr>
            <w:tcW w:w="4675" w:type="dxa"/>
          </w:tcPr>
          <w:p w14:paraId="6A815F6E" w14:textId="77777777" w:rsidR="00676F3F" w:rsidRDefault="00676F3F" w:rsidP="00676F3F">
            <w:pPr>
              <w:bidi/>
              <w:rPr>
                <w:rtl/>
              </w:rPr>
            </w:pPr>
          </w:p>
        </w:tc>
      </w:tr>
      <w:tr w:rsidR="00676F3F" w14:paraId="2ACC6799" w14:textId="77777777" w:rsidTr="00676F3F">
        <w:tc>
          <w:tcPr>
            <w:tcW w:w="4675" w:type="dxa"/>
          </w:tcPr>
          <w:p w14:paraId="573B7333" w14:textId="77777777" w:rsidR="00676F3F" w:rsidRDefault="00676F3F" w:rsidP="00676F3F">
            <w:pPr>
              <w:bidi/>
              <w:rPr>
                <w:rtl/>
              </w:rPr>
            </w:pPr>
          </w:p>
        </w:tc>
        <w:tc>
          <w:tcPr>
            <w:tcW w:w="4675" w:type="dxa"/>
          </w:tcPr>
          <w:p w14:paraId="1EBF4525" w14:textId="77777777" w:rsidR="00676F3F" w:rsidRDefault="00676F3F" w:rsidP="00676F3F">
            <w:pPr>
              <w:bidi/>
              <w:rPr>
                <w:rtl/>
              </w:rPr>
            </w:pPr>
          </w:p>
        </w:tc>
      </w:tr>
      <w:tr w:rsidR="00676F3F" w14:paraId="3F7E6357" w14:textId="77777777" w:rsidTr="00676F3F">
        <w:tc>
          <w:tcPr>
            <w:tcW w:w="4675" w:type="dxa"/>
          </w:tcPr>
          <w:p w14:paraId="7EAF132C" w14:textId="77777777" w:rsidR="00676F3F" w:rsidRDefault="00676F3F" w:rsidP="00676F3F">
            <w:pPr>
              <w:bidi/>
              <w:rPr>
                <w:rtl/>
              </w:rPr>
            </w:pPr>
          </w:p>
        </w:tc>
        <w:tc>
          <w:tcPr>
            <w:tcW w:w="4675" w:type="dxa"/>
          </w:tcPr>
          <w:p w14:paraId="1D7F80D6" w14:textId="77777777" w:rsidR="00676F3F" w:rsidRDefault="00676F3F" w:rsidP="00676F3F">
            <w:pPr>
              <w:bidi/>
              <w:rPr>
                <w:rtl/>
              </w:rPr>
            </w:pPr>
          </w:p>
        </w:tc>
      </w:tr>
      <w:tr w:rsidR="00676F3F" w14:paraId="14B64749" w14:textId="77777777" w:rsidTr="00676F3F">
        <w:tc>
          <w:tcPr>
            <w:tcW w:w="4675" w:type="dxa"/>
          </w:tcPr>
          <w:p w14:paraId="6EB5D306" w14:textId="77777777" w:rsidR="00676F3F" w:rsidRDefault="00676F3F" w:rsidP="00676F3F">
            <w:pPr>
              <w:bidi/>
              <w:rPr>
                <w:rtl/>
              </w:rPr>
            </w:pPr>
          </w:p>
        </w:tc>
        <w:tc>
          <w:tcPr>
            <w:tcW w:w="4675" w:type="dxa"/>
          </w:tcPr>
          <w:p w14:paraId="506D85E3" w14:textId="77777777" w:rsidR="00676F3F" w:rsidRDefault="00676F3F" w:rsidP="00676F3F">
            <w:pPr>
              <w:bidi/>
              <w:rPr>
                <w:rtl/>
              </w:rPr>
            </w:pPr>
          </w:p>
        </w:tc>
      </w:tr>
    </w:tbl>
    <w:p w14:paraId="2BD4D5AB" w14:textId="77777777" w:rsidR="00676F3F" w:rsidRDefault="00676F3F" w:rsidP="00676F3F">
      <w:pPr>
        <w:bidi/>
      </w:pPr>
    </w:p>
    <w:sectPr w:rsidR="00676F3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altName w:val="Helvetica"/>
    <w:panose1 w:val="020B0604020202020204"/>
    <w:charset w:val="00"/>
    <w:family w:val="swiss"/>
    <w:pitch w:val="variable"/>
    <w:sig w:usb0="E0002EFF" w:usb1="C000785B" w:usb2="00000009" w:usb3="00000000" w:csb0="000001FF" w:csb1="00000000"/>
  </w:font>
  <w:font w:name="Times New Roman">
    <w:altName w:val="Times New Roman"/>
    <w:panose1 w:val="02020603050405020304"/>
    <w:charset w:val="00"/>
    <w:family w:val="roman"/>
    <w:pitch w:val="variable"/>
    <w:sig w:usb0="E0002EFF" w:usb1="C000785B" w:usb2="00000009" w:usb3="00000000" w:csb0="000001FF" w:csb1="00000000"/>
  </w:font>
  <w:font w:name="Traditional Arabic">
    <w:altName w:val="Times New Roman"/>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75FC"/>
    <w:rsid w:val="000175FC"/>
    <w:rsid w:val="00035172"/>
    <w:rsid w:val="000B7997"/>
    <w:rsid w:val="00142D2E"/>
    <w:rsid w:val="00676F3F"/>
    <w:rsid w:val="008179E3"/>
    <w:rsid w:val="009C03E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036545"/>
  <w15:chartTrackingRefBased/>
  <w15:docId w15:val="{59B96D54-CF9B-430B-98B8-A5A9D1B96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5172"/>
  </w:style>
  <w:style w:type="paragraph" w:styleId="Heading3">
    <w:name w:val="heading 3"/>
    <w:basedOn w:val="Normal"/>
    <w:next w:val="Normal"/>
    <w:link w:val="Heading3Char"/>
    <w:uiPriority w:val="99"/>
    <w:qFormat/>
    <w:rsid w:val="000175FC"/>
    <w:pPr>
      <w:keepNext/>
      <w:spacing w:before="240" w:after="0" w:line="380" w:lineRule="exact"/>
      <w:jc w:val="center"/>
      <w:outlineLvl w:val="2"/>
    </w:pPr>
    <w:rPr>
      <w:rFonts w:ascii="Times New Roman" w:eastAsia="Times New Roman" w:hAnsi="Times New Roman" w:cs="Times New Roman"/>
      <w:b/>
      <w:bCs/>
      <w:noProof/>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rsid w:val="000175FC"/>
    <w:rPr>
      <w:rFonts w:ascii="Times New Roman" w:eastAsia="Times New Roman" w:hAnsi="Times New Roman" w:cs="Times New Roman"/>
      <w:b/>
      <w:bCs/>
      <w:noProof/>
      <w:sz w:val="48"/>
      <w:szCs w:val="48"/>
    </w:rPr>
  </w:style>
  <w:style w:type="paragraph" w:customStyle="1" w:styleId="a">
    <w:name w:val="مقال"/>
    <w:basedOn w:val="Normal"/>
    <w:uiPriority w:val="99"/>
    <w:rsid w:val="000175FC"/>
    <w:pPr>
      <w:spacing w:before="180" w:after="0" w:line="340" w:lineRule="exact"/>
      <w:ind w:firstLine="284"/>
      <w:jc w:val="right"/>
    </w:pPr>
    <w:rPr>
      <w:rFonts w:ascii="Times New Roman" w:eastAsia="Times New Roman" w:hAnsi="Times New Roman" w:cs="Times New Roman"/>
      <w:sz w:val="24"/>
      <w:szCs w:val="24"/>
      <w:lang w:val="en-AU" w:eastAsia="ar-SA"/>
    </w:rPr>
  </w:style>
  <w:style w:type="table" w:styleId="TableGrid">
    <w:name w:val="Table Grid"/>
    <w:basedOn w:val="TableNormal"/>
    <w:uiPriority w:val="39"/>
    <w:rsid w:val="00676F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505</Words>
  <Characters>2883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Kassem Sara</dc:creator>
  <cp:keywords/>
  <dc:description/>
  <cp:lastModifiedBy>Kassem Sara</cp:lastModifiedBy>
  <cp:revision>2</cp:revision>
  <dcterms:created xsi:type="dcterms:W3CDTF">2022-06-20T09:26:00Z</dcterms:created>
  <dcterms:modified xsi:type="dcterms:W3CDTF">2022-06-20T09:26:00Z</dcterms:modified>
</cp:coreProperties>
</file>