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مبادرة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عليم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حق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للجميع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: </w:t>
      </w:r>
    </w:p>
    <w:p w:rsidR="00000000" w:rsidDel="00000000" w:rsidP="00000000" w:rsidRDefault="00000000" w:rsidRPr="00000000" w14:paraId="00000002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rPr>
          <w:sz w:val="28"/>
          <w:szCs w:val="28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العام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الد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راسي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 ٢٠١٩-٢٠٢٠،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ضوء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توق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العملي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عليمي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عدد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كبير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الد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ول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تحس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ب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ً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لتفش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جائحة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كورونا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،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أتاحت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كلمة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منص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تها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مج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ً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لكل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المدارس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المهتم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بتعليم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عبرها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ونتيجة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لهذه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المبادرة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استفادت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٤٣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مدرسة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١٠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دول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مختلفة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حسابات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مج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اني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المنص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الإعلان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المبادرة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07">
      <w:pPr>
        <w:bidi w:val="1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shd w:fill="f8f8f8" w:val="clear"/>
            <w:rtl w:val="0"/>
          </w:rPr>
          <w:t xml:space="preserve">https://www.facebook.com/kamkalima/photos/a.1504960246437104/2501800853419700/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kamkalima/photos/a.1504960246437104/25018008534197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